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3D11" w14:textId="35ABB0D3" w:rsidR="000C3C77" w:rsidRDefault="008F32CB" w:rsidP="000C3C77">
      <w:pPr>
        <w:widowControl w:val="0"/>
        <w:autoSpaceDE w:val="0"/>
        <w:autoSpaceDN w:val="0"/>
        <w:adjustRightInd w:val="0"/>
        <w:rPr>
          <w:rFonts w:ascii="Avenir Book" w:hAnsi="Avenir Book" w:cs="Avenir Book"/>
          <w:b/>
          <w:bCs/>
          <w:color w:val="000000"/>
          <w:sz w:val="60"/>
          <w:szCs w:val="60"/>
        </w:rPr>
      </w:pPr>
      <w:r>
        <w:rPr>
          <w:rFonts w:ascii="Avenir Book" w:hAnsi="Avenir Book" w:cs="Avenir Book"/>
          <w:b/>
          <w:bCs/>
          <w:noProof/>
          <w:color w:val="000000"/>
          <w:sz w:val="60"/>
          <w:szCs w:val="60"/>
        </w:rPr>
        <w:drawing>
          <wp:anchor distT="0" distB="0" distL="114300" distR="114300" simplePos="0" relativeHeight="251658240" behindDoc="0" locked="0" layoutInCell="1" allowOverlap="1" wp14:anchorId="16AB4DD2" wp14:editId="3E84C53D">
            <wp:simplePos x="0" y="0"/>
            <wp:positionH relativeFrom="column">
              <wp:posOffset>0</wp:posOffset>
            </wp:positionH>
            <wp:positionV relativeFrom="paragraph">
              <wp:posOffset>-385483</wp:posOffset>
            </wp:positionV>
            <wp:extent cx="5943600" cy="1080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G_HCA_Black.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080770"/>
                    </a:xfrm>
                    <a:prstGeom prst="rect">
                      <a:avLst/>
                    </a:prstGeom>
                  </pic:spPr>
                </pic:pic>
              </a:graphicData>
            </a:graphic>
            <wp14:sizeRelH relativeFrom="page">
              <wp14:pctWidth>0</wp14:pctWidth>
            </wp14:sizeRelH>
            <wp14:sizeRelV relativeFrom="page">
              <wp14:pctHeight>0</wp14:pctHeight>
            </wp14:sizeRelV>
          </wp:anchor>
        </w:drawing>
      </w:r>
    </w:p>
    <w:p w14:paraId="18816D27" w14:textId="77777777" w:rsidR="000C3C77" w:rsidRDefault="000C3C77" w:rsidP="000C3C77">
      <w:pPr>
        <w:widowControl w:val="0"/>
        <w:autoSpaceDE w:val="0"/>
        <w:autoSpaceDN w:val="0"/>
        <w:adjustRightInd w:val="0"/>
        <w:rPr>
          <w:rFonts w:ascii="Avenir Book" w:hAnsi="Avenir Book" w:cs="Avenir Book"/>
          <w:b/>
          <w:bCs/>
          <w:color w:val="000000"/>
          <w:sz w:val="60"/>
          <w:szCs w:val="60"/>
        </w:rPr>
      </w:pPr>
    </w:p>
    <w:p w14:paraId="38452415" w14:textId="77777777" w:rsidR="000C3C77" w:rsidRDefault="000C3C77" w:rsidP="000C3C77">
      <w:pPr>
        <w:widowControl w:val="0"/>
        <w:autoSpaceDE w:val="0"/>
        <w:autoSpaceDN w:val="0"/>
        <w:adjustRightInd w:val="0"/>
        <w:rPr>
          <w:rFonts w:ascii="Avenir Book" w:hAnsi="Avenir Book" w:cs="Avenir Book"/>
          <w:b/>
          <w:bCs/>
          <w:color w:val="000000"/>
          <w:sz w:val="60"/>
          <w:szCs w:val="60"/>
        </w:rPr>
      </w:pPr>
      <w:bookmarkStart w:id="0" w:name="OLE_LINK1"/>
      <w:bookmarkStart w:id="1" w:name="OLE_LINK2"/>
      <w:r>
        <w:rPr>
          <w:rFonts w:ascii="Avenir Book" w:hAnsi="Avenir Book" w:cs="Avenir Book"/>
          <w:b/>
          <w:bCs/>
          <w:color w:val="000000"/>
          <w:sz w:val="60"/>
          <w:szCs w:val="60"/>
        </w:rPr>
        <w:t>The Brodkin Group Honors Our Heroes</w:t>
      </w:r>
    </w:p>
    <w:bookmarkEnd w:id="0"/>
    <w:bookmarkEnd w:id="1"/>
    <w:p w14:paraId="4F861095" w14:textId="77777777" w:rsidR="000C3C77" w:rsidRDefault="000C3C77" w:rsidP="000C3C77">
      <w:pPr>
        <w:widowControl w:val="0"/>
        <w:autoSpaceDE w:val="0"/>
        <w:autoSpaceDN w:val="0"/>
        <w:adjustRightInd w:val="0"/>
        <w:jc w:val="both"/>
        <w:rPr>
          <w:rFonts w:ascii="Avenir Book" w:hAnsi="Avenir Book" w:cs="Avenir Book"/>
          <w:color w:val="000000"/>
        </w:rPr>
      </w:pPr>
    </w:p>
    <w:p w14:paraId="65370948" w14:textId="1CCFAC64" w:rsidR="000C3C77" w:rsidRDefault="000C3C77" w:rsidP="000C3C77">
      <w:pPr>
        <w:widowControl w:val="0"/>
        <w:autoSpaceDE w:val="0"/>
        <w:autoSpaceDN w:val="0"/>
        <w:adjustRightInd w:val="0"/>
        <w:jc w:val="both"/>
        <w:rPr>
          <w:rFonts w:ascii="Avenir Book" w:hAnsi="Avenir Book" w:cs="Avenir Book"/>
          <w:color w:val="000000"/>
        </w:rPr>
      </w:pPr>
      <w:r>
        <w:rPr>
          <w:rFonts w:ascii="Avenir Book" w:hAnsi="Avenir Book" w:cs="Avenir Book"/>
          <w:color w:val="000000"/>
        </w:rPr>
        <w:t>The Brodkin Group, a community-minded real estate company,</w:t>
      </w:r>
      <w:r w:rsidR="00916CCC">
        <w:rPr>
          <w:rFonts w:ascii="Avenir Book" w:hAnsi="Avenir Book" w:cs="Avenir Book"/>
          <w:color w:val="000000"/>
        </w:rPr>
        <w:t xml:space="preserve"> and leader in Southern Nevada</w:t>
      </w:r>
      <w:r>
        <w:rPr>
          <w:rFonts w:ascii="Avenir Book" w:hAnsi="Avenir Book" w:cs="Avenir Book"/>
          <w:color w:val="000000"/>
        </w:rPr>
        <w:t>, is proud to announce the launch of an initiative to give back and say “Thank You” to the local heroes that surround us every day!</w:t>
      </w:r>
    </w:p>
    <w:p w14:paraId="0B6BF13E" w14:textId="77777777" w:rsidR="000C3C77" w:rsidRDefault="000C3C77" w:rsidP="000C3C77">
      <w:pPr>
        <w:widowControl w:val="0"/>
        <w:autoSpaceDE w:val="0"/>
        <w:autoSpaceDN w:val="0"/>
        <w:adjustRightInd w:val="0"/>
        <w:jc w:val="both"/>
        <w:rPr>
          <w:rFonts w:ascii="Avenir Book" w:hAnsi="Avenir Book" w:cs="Avenir Book"/>
          <w:color w:val="000000"/>
        </w:rPr>
      </w:pPr>
    </w:p>
    <w:p w14:paraId="47128215" w14:textId="77777777" w:rsidR="000C3C77" w:rsidRDefault="000C3C77" w:rsidP="000C3C77">
      <w:pPr>
        <w:widowControl w:val="0"/>
        <w:autoSpaceDE w:val="0"/>
        <w:autoSpaceDN w:val="0"/>
        <w:adjustRightInd w:val="0"/>
        <w:jc w:val="both"/>
        <w:rPr>
          <w:rFonts w:ascii="Avenir Book" w:hAnsi="Avenir Book" w:cs="Avenir Book"/>
          <w:color w:val="000000"/>
        </w:rPr>
      </w:pPr>
      <w:r>
        <w:rPr>
          <w:rFonts w:ascii="Avenir Book" w:hAnsi="Avenir Book" w:cs="Avenir Book"/>
          <w:color w:val="000000"/>
        </w:rPr>
        <w:t>“Our business touches every segment of society,” says Rich Brodkin, Founder and CEO of The Brodkin Group,” We are passionate about making a difference in their lives when and wherever we can. The Honoring Our Heroes initiative was designed to ease the financial side of the real estate transaction so that we can help get them into their dream home.”</w:t>
      </w:r>
    </w:p>
    <w:p w14:paraId="2C154010" w14:textId="77777777" w:rsidR="000C3C77" w:rsidRDefault="000C3C77" w:rsidP="000C3C77">
      <w:pPr>
        <w:widowControl w:val="0"/>
        <w:autoSpaceDE w:val="0"/>
        <w:autoSpaceDN w:val="0"/>
        <w:adjustRightInd w:val="0"/>
        <w:jc w:val="both"/>
        <w:rPr>
          <w:rFonts w:ascii="Avenir Book" w:hAnsi="Avenir Book" w:cs="Avenir Book"/>
          <w:color w:val="000000"/>
        </w:rPr>
      </w:pPr>
    </w:p>
    <w:p w14:paraId="464776E3" w14:textId="77777777" w:rsidR="000C3C77" w:rsidRDefault="000C3C77" w:rsidP="000C3C77">
      <w:pPr>
        <w:widowControl w:val="0"/>
        <w:autoSpaceDE w:val="0"/>
        <w:autoSpaceDN w:val="0"/>
        <w:adjustRightInd w:val="0"/>
        <w:jc w:val="both"/>
        <w:rPr>
          <w:rFonts w:ascii="Avenir Book" w:hAnsi="Avenir Book" w:cs="Avenir Book"/>
          <w:color w:val="000000"/>
        </w:rPr>
      </w:pPr>
      <w:r>
        <w:rPr>
          <w:rFonts w:ascii="Avenir Book" w:hAnsi="Avenir Book" w:cs="Avenir Book"/>
          <w:color w:val="000000"/>
        </w:rPr>
        <w:t>The Brodkin Group will contribute $1,000 toward the closing costs when participants sell or purchase a home with one of The Brodkin Group real estate sales professionals. *</w:t>
      </w:r>
    </w:p>
    <w:p w14:paraId="3EA8AA79" w14:textId="77777777" w:rsidR="000C3C77" w:rsidRDefault="000C3C77" w:rsidP="000C3C77">
      <w:pPr>
        <w:widowControl w:val="0"/>
        <w:autoSpaceDE w:val="0"/>
        <w:autoSpaceDN w:val="0"/>
        <w:adjustRightInd w:val="0"/>
        <w:jc w:val="both"/>
        <w:rPr>
          <w:rFonts w:ascii="Avenir Book" w:hAnsi="Avenir Book" w:cs="Avenir Book"/>
          <w:color w:val="000000"/>
        </w:rPr>
      </w:pPr>
    </w:p>
    <w:p w14:paraId="67A0ACC9" w14:textId="77777777" w:rsidR="000C3C77" w:rsidRDefault="000C3C77" w:rsidP="000C3C77">
      <w:pPr>
        <w:widowControl w:val="0"/>
        <w:autoSpaceDE w:val="0"/>
        <w:autoSpaceDN w:val="0"/>
        <w:adjustRightInd w:val="0"/>
        <w:spacing w:after="372"/>
        <w:jc w:val="both"/>
        <w:rPr>
          <w:rFonts w:ascii="Avenir Book" w:hAnsi="Avenir Book" w:cs="Avenir Book"/>
          <w:color w:val="000000"/>
        </w:rPr>
      </w:pPr>
      <w:r>
        <w:rPr>
          <w:rFonts w:ascii="Avenir Book" w:hAnsi="Avenir Book" w:cs="Avenir Book"/>
          <w:color w:val="000000"/>
        </w:rPr>
        <w:t xml:space="preserve">If you are Active Military or a Veteran, Law Enforcement, Firefighter, First Responder, in the Medical field, or Education, you are eligible to enroll.  Go to </w:t>
      </w:r>
      <w:hyperlink r:id="rId5" w:history="1">
        <w:r>
          <w:rPr>
            <w:rFonts w:ascii="Avenir Book" w:hAnsi="Avenir Book" w:cs="Avenir Book"/>
            <w:color w:val="0000FF"/>
            <w:u w:val="single" w:color="0000FF"/>
          </w:rPr>
          <w:t>www.TheBrodkinGroup.com</w:t>
        </w:r>
      </w:hyperlink>
      <w:r>
        <w:rPr>
          <w:rFonts w:ascii="Avenir Book" w:hAnsi="Avenir Book" w:cs="Avenir Book"/>
          <w:color w:val="000000"/>
        </w:rPr>
        <w:t xml:space="preserve"> to learn more, sign up, and get connected with a Brodkin Group professional today!</w:t>
      </w:r>
    </w:p>
    <w:p w14:paraId="1A118A24" w14:textId="77777777" w:rsidR="000C3C77" w:rsidRDefault="000C3C77" w:rsidP="000C3C77">
      <w:pPr>
        <w:widowControl w:val="0"/>
        <w:autoSpaceDE w:val="0"/>
        <w:autoSpaceDN w:val="0"/>
        <w:adjustRightInd w:val="0"/>
        <w:spacing w:after="372"/>
        <w:jc w:val="both"/>
        <w:rPr>
          <w:rFonts w:ascii="Avenir Book" w:hAnsi="Avenir Book" w:cs="Avenir Book"/>
          <w:color w:val="000000"/>
        </w:rPr>
      </w:pPr>
      <w:r>
        <w:rPr>
          <w:rFonts w:ascii="Avenir Book" w:hAnsi="Avenir Book" w:cs="Avenir Book"/>
          <w:color w:val="000000"/>
        </w:rPr>
        <w:t>*Lender restrictions apply</w:t>
      </w:r>
    </w:p>
    <w:p w14:paraId="2DED48DE" w14:textId="77777777" w:rsidR="000C3C77" w:rsidRDefault="000C3C77" w:rsidP="000C3C77">
      <w:pPr>
        <w:widowControl w:val="0"/>
        <w:autoSpaceDE w:val="0"/>
        <w:autoSpaceDN w:val="0"/>
        <w:adjustRightInd w:val="0"/>
        <w:rPr>
          <w:rFonts w:ascii="Avenir Book" w:hAnsi="Avenir Book" w:cs="Avenir Book"/>
          <w:i/>
          <w:iCs/>
          <w:color w:val="4E4E4E"/>
        </w:rPr>
      </w:pPr>
      <w:r>
        <w:rPr>
          <w:rFonts w:ascii="Avenir Book" w:hAnsi="Avenir Book" w:cs="Avenir Book"/>
          <w:i/>
          <w:iCs/>
          <w:color w:val="4E4E4E"/>
        </w:rPr>
        <w:t>About The Brodkin Group</w:t>
      </w:r>
      <w:r>
        <w:rPr>
          <w:rFonts w:ascii="MS Mincho" w:eastAsia="MS Mincho" w:hAnsi="MS Mincho" w:cs="MS Mincho"/>
          <w:i/>
          <w:iCs/>
          <w:color w:val="4E4E4E"/>
        </w:rPr>
        <w:t> </w:t>
      </w:r>
    </w:p>
    <w:p w14:paraId="03113290" w14:textId="6BD6D1EF" w:rsidR="00EC2732" w:rsidRDefault="000C3C77" w:rsidP="000C3C77">
      <w:r>
        <w:rPr>
          <w:rFonts w:ascii="Avenir Book" w:hAnsi="Avenir Book" w:cs="Avenir Book"/>
          <w:i/>
          <w:iCs/>
          <w:color w:val="4E4E4E"/>
        </w:rPr>
        <w:t>In just a few short years, The Brodkin Group has grown to over 1</w:t>
      </w:r>
      <w:r w:rsidR="008F32CB">
        <w:rPr>
          <w:rFonts w:ascii="Avenir Book" w:hAnsi="Avenir Book" w:cs="Avenir Book"/>
          <w:i/>
          <w:iCs/>
          <w:color w:val="4E4E4E"/>
        </w:rPr>
        <w:t>0</w:t>
      </w:r>
      <w:r>
        <w:rPr>
          <w:rFonts w:ascii="Avenir Book" w:hAnsi="Avenir Book" w:cs="Avenir Book"/>
          <w:i/>
          <w:iCs/>
          <w:color w:val="4E4E4E"/>
        </w:rPr>
        <w:t>0 agents in Southern Nevad</w:t>
      </w:r>
      <w:r w:rsidR="00916CCC">
        <w:rPr>
          <w:rFonts w:ascii="Avenir Book" w:hAnsi="Avenir Book" w:cs="Avenir Book"/>
          <w:i/>
          <w:iCs/>
          <w:color w:val="4E4E4E"/>
        </w:rPr>
        <w:t xml:space="preserve">a </w:t>
      </w:r>
      <w:r>
        <w:rPr>
          <w:rFonts w:ascii="Avenir Book" w:hAnsi="Avenir Book" w:cs="Avenir Book"/>
          <w:i/>
          <w:iCs/>
          <w:color w:val="4E4E4E"/>
        </w:rPr>
        <w:t xml:space="preserve">, with a closed sales volume of </w:t>
      </w:r>
      <w:r w:rsidR="00916CCC">
        <w:rPr>
          <w:rFonts w:ascii="Avenir Book" w:hAnsi="Avenir Book" w:cs="Avenir Book"/>
          <w:i/>
          <w:iCs/>
          <w:color w:val="4E4E4E"/>
        </w:rPr>
        <w:t>93</w:t>
      </w:r>
      <w:r>
        <w:rPr>
          <w:rFonts w:ascii="Avenir Book" w:hAnsi="Avenir Book" w:cs="Avenir Book"/>
          <w:i/>
          <w:iCs/>
          <w:color w:val="4E4E4E"/>
        </w:rPr>
        <w:t>.2 million in 201</w:t>
      </w:r>
      <w:r w:rsidR="00916CCC">
        <w:rPr>
          <w:rFonts w:ascii="Avenir Book" w:hAnsi="Avenir Book" w:cs="Avenir Book"/>
          <w:i/>
          <w:iCs/>
          <w:color w:val="4E4E4E"/>
        </w:rPr>
        <w:t>7 – making The Brodkin Group #</w:t>
      </w:r>
      <w:r w:rsidR="008F32CB">
        <w:rPr>
          <w:rFonts w:ascii="Avenir Book" w:hAnsi="Avenir Book" w:cs="Avenir Book"/>
          <w:i/>
          <w:iCs/>
          <w:color w:val="4E4E4E"/>
        </w:rPr>
        <w:t>3</w:t>
      </w:r>
      <w:r w:rsidR="00916CCC">
        <w:rPr>
          <w:rFonts w:ascii="Avenir Book" w:hAnsi="Avenir Book" w:cs="Avenir Book"/>
          <w:i/>
          <w:iCs/>
          <w:color w:val="4E4E4E"/>
        </w:rPr>
        <w:t xml:space="preserve"> in Closed Transactions and #</w:t>
      </w:r>
      <w:r w:rsidR="008F32CB">
        <w:rPr>
          <w:rFonts w:ascii="Avenir Book" w:hAnsi="Avenir Book" w:cs="Avenir Book"/>
          <w:i/>
          <w:iCs/>
          <w:color w:val="4E4E4E"/>
        </w:rPr>
        <w:t>4</w:t>
      </w:r>
      <w:r w:rsidR="00916CCC">
        <w:rPr>
          <w:rFonts w:ascii="Avenir Book" w:hAnsi="Avenir Book" w:cs="Avenir Book"/>
          <w:i/>
          <w:iCs/>
          <w:color w:val="4E4E4E"/>
        </w:rPr>
        <w:t xml:space="preserve"> in Closed Volume in the State.  </w:t>
      </w:r>
      <w:r>
        <w:rPr>
          <w:rFonts w:ascii="Avenir Book" w:hAnsi="Avenir Book" w:cs="Avenir Book"/>
          <w:i/>
          <w:iCs/>
          <w:color w:val="4E4E4E"/>
        </w:rPr>
        <w:t xml:space="preserve"> Experience The Brodkin Group Difference TODAY! Call us at 702-815-1114 or by email to </w:t>
      </w:r>
      <w:hyperlink r:id="rId6" w:history="1">
        <w:r>
          <w:rPr>
            <w:rFonts w:ascii="Avenir Book" w:hAnsi="Avenir Book" w:cs="Avenir Book"/>
            <w:i/>
            <w:iCs/>
            <w:color w:val="0000FF"/>
            <w:u w:val="single" w:color="0000FF"/>
          </w:rPr>
          <w:t>mailto:admin@TheBrodkinGroup.com</w:t>
        </w:r>
      </w:hyperlink>
      <w:bookmarkStart w:id="2" w:name="_GoBack"/>
      <w:bookmarkEnd w:id="2"/>
    </w:p>
    <w:sectPr w:rsidR="00EC2732" w:rsidSect="009C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77"/>
    <w:rsid w:val="0003013D"/>
    <w:rsid w:val="000C3C77"/>
    <w:rsid w:val="0030792D"/>
    <w:rsid w:val="00477006"/>
    <w:rsid w:val="008F32CB"/>
    <w:rsid w:val="00916CCC"/>
    <w:rsid w:val="009C1F00"/>
    <w:rsid w:val="00E313A1"/>
    <w:rsid w:val="00EC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9F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30792D"/>
    <w:pPr>
      <w:jc w:val="both"/>
    </w:pPr>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heBrodkinGroup.com" TargetMode="External"/><Relationship Id="rId5" Type="http://schemas.openxmlformats.org/officeDocument/2006/relationships/hyperlink" Target="http://www.TheBrodkinGrou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Laura</dc:creator>
  <cp:keywords/>
  <dc:description/>
  <cp:lastModifiedBy>Microsoft Office User</cp:lastModifiedBy>
  <cp:revision>2</cp:revision>
  <dcterms:created xsi:type="dcterms:W3CDTF">2018-07-24T02:11:00Z</dcterms:created>
  <dcterms:modified xsi:type="dcterms:W3CDTF">2018-07-24T02:11:00Z</dcterms:modified>
</cp:coreProperties>
</file>